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858F8" w14:textId="18A729CE" w:rsidR="00FE526C" w:rsidRPr="00FE526C" w:rsidRDefault="00FE526C" w:rsidP="00FE526C">
      <w:pPr>
        <w:spacing w:after="200" w:line="276" w:lineRule="auto"/>
        <w:rPr>
          <w:rFonts w:ascii="Cambria" w:eastAsia="MS Mincho" w:hAnsi="Cambria" w:cs="Times New Roman"/>
        </w:rPr>
      </w:pPr>
      <w:r w:rsidRPr="00FE526C">
        <w:rPr>
          <w:rFonts w:ascii="Cambria" w:eastAsia="MS Mincho" w:hAnsi="Cambria" w:cs="Times New Roman"/>
        </w:rPr>
        <w:t>ZP/</w:t>
      </w:r>
      <w:r w:rsidR="00655F18">
        <w:rPr>
          <w:rFonts w:ascii="Cambria" w:eastAsia="MS Mincho" w:hAnsi="Cambria" w:cs="Times New Roman"/>
        </w:rPr>
        <w:t>3</w:t>
      </w:r>
      <w:r w:rsidRPr="00FE526C">
        <w:rPr>
          <w:rFonts w:ascii="Cambria" w:eastAsia="MS Mincho" w:hAnsi="Cambria" w:cs="Times New Roman"/>
        </w:rPr>
        <w:t>/202</w:t>
      </w:r>
      <w:r w:rsidR="00870AFD">
        <w:rPr>
          <w:rFonts w:ascii="Cambria" w:eastAsia="MS Mincho" w:hAnsi="Cambria" w:cs="Times New Roman"/>
        </w:rPr>
        <w:t>6</w:t>
      </w:r>
      <w:r w:rsidRPr="00FE526C">
        <w:rPr>
          <w:rFonts w:ascii="Cambria" w:eastAsia="MS Mincho" w:hAnsi="Cambria" w:cs="Times New Roman"/>
        </w:rPr>
        <w:tab/>
      </w:r>
    </w:p>
    <w:p w14:paraId="3CA9ECF3" w14:textId="299C93D8" w:rsidR="00FE526C" w:rsidRDefault="00FE526C" w:rsidP="00FE526C">
      <w:pPr>
        <w:spacing w:after="200" w:line="276" w:lineRule="auto"/>
        <w:jc w:val="both"/>
        <w:rPr>
          <w:rFonts w:ascii="Cambria" w:eastAsia="MS Mincho" w:hAnsi="Cambria" w:cs="Times New Roman"/>
          <w:b/>
          <w:bCs/>
          <w:sz w:val="24"/>
          <w:szCs w:val="24"/>
        </w:rPr>
      </w:pPr>
      <w:r w:rsidRPr="00FE526C">
        <w:rPr>
          <w:rFonts w:ascii="Cambria" w:eastAsia="MS Mincho" w:hAnsi="Cambria" w:cs="Times New Roman"/>
          <w:sz w:val="24"/>
          <w:szCs w:val="24"/>
        </w:rPr>
        <w:t xml:space="preserve">Postępowanie o udzielenie zamówienia publicznego w ramach projektu pn.: </w:t>
      </w:r>
      <w:bookmarkStart w:id="0" w:name="_Hlk203468127"/>
      <w:r w:rsidR="00870AFD" w:rsidRPr="00870AFD">
        <w:rPr>
          <w:rFonts w:ascii="Cambria" w:eastAsia="MS Mincho" w:hAnsi="Cambria" w:cs="Times New Roman"/>
          <w:b/>
          <w:bCs/>
          <w:sz w:val="24"/>
          <w:szCs w:val="24"/>
        </w:rPr>
        <w:t>„</w:t>
      </w:r>
      <w:r w:rsidR="00870AFD" w:rsidRPr="00870AFD">
        <w:rPr>
          <w:rFonts w:ascii="Cambria" w:eastAsia="MS Mincho" w:hAnsi="Cambria" w:cs="Times New Roman"/>
          <w:b/>
          <w:sz w:val="24"/>
          <w:szCs w:val="24"/>
        </w:rPr>
        <w:t>Rozbudowa instalacji biologicznego przetwarzania odpadów biodegradowalnych selektywnie zebranych, w m. Ruda k/Wielunia</w:t>
      </w:r>
      <w:r w:rsidR="00870AFD" w:rsidRPr="00870AFD">
        <w:rPr>
          <w:rFonts w:ascii="Cambria" w:eastAsia="MS Mincho" w:hAnsi="Cambria" w:cs="Times New Roman"/>
          <w:b/>
          <w:bCs/>
          <w:sz w:val="24"/>
          <w:szCs w:val="24"/>
        </w:rPr>
        <w:t>” w zakresie realizacji zadania - zakup i dostawa sprzętu mobilnego – rozdrabniacza mobilnego”.</w:t>
      </w:r>
    </w:p>
    <w:p w14:paraId="4E59FF28" w14:textId="77777777" w:rsidR="00CC4BDC" w:rsidRPr="00626712" w:rsidRDefault="00CC4BDC" w:rsidP="00CC4BDC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</w:rPr>
      </w:pPr>
      <w:r w:rsidRPr="00626712">
        <w:rPr>
          <w:rFonts w:ascii="Arial" w:eastAsia="Calibri" w:hAnsi="Arial" w:cs="Arial"/>
          <w:bCs/>
          <w:sz w:val="24"/>
          <w:szCs w:val="24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</w:rPr>
        <w:t xml:space="preserve"> umowa nr FELD.02.13-IZ.00-0008/24-00</w:t>
      </w:r>
    </w:p>
    <w:p w14:paraId="39336D53" w14:textId="77777777" w:rsidR="006F311B" w:rsidRPr="006F311B" w:rsidRDefault="006F311B" w:rsidP="006F311B">
      <w:pPr>
        <w:spacing w:after="200" w:line="276" w:lineRule="auto"/>
        <w:jc w:val="both"/>
        <w:rPr>
          <w:rFonts w:ascii="Cambria" w:eastAsia="MS Mincho" w:hAnsi="Cambria" w:cs="Times New Roman"/>
          <w:b/>
          <w:bCs/>
          <w:sz w:val="24"/>
          <w:szCs w:val="24"/>
        </w:rPr>
      </w:pPr>
      <w:r w:rsidRPr="006F311B">
        <w:rPr>
          <w:rFonts w:ascii="Cambria" w:eastAsia="MS Mincho" w:hAnsi="Cambria" w:cs="Times New Roman"/>
          <w:b/>
          <w:bCs/>
          <w:sz w:val="24"/>
          <w:szCs w:val="24"/>
        </w:rPr>
        <w:t>W ramach projektu pn.: „Rozbudowa instalacji biologicznego przetwarzania odpadów biodegradowalnych selektywnie zebranych, w m. Ruda k/Wielunia” w zakresie realizacji zadania - zakup i dostawa sprzętu mobilnego, umowa o dofinansowanie projektu  FELD.02.13-IZ.00-0008/24-00 program współfinansowania ze środków Europejskiego Funduszu Rozwoju Regionalnego w ramach programu regionalnego Fundusze Europejskie dla Łódzkiego 2021 – 2027.</w:t>
      </w:r>
    </w:p>
    <w:p w14:paraId="1240010A" w14:textId="77777777" w:rsidR="00CC4BDC" w:rsidRPr="00FE526C" w:rsidRDefault="00CC4BDC" w:rsidP="00FE526C">
      <w:pPr>
        <w:spacing w:after="200" w:line="276" w:lineRule="auto"/>
        <w:jc w:val="both"/>
        <w:rPr>
          <w:rFonts w:ascii="Cambria" w:eastAsia="MS Mincho" w:hAnsi="Cambria" w:cs="Times New Roman"/>
          <w:bCs/>
          <w:sz w:val="24"/>
          <w:szCs w:val="24"/>
        </w:rPr>
      </w:pPr>
    </w:p>
    <w:bookmarkEnd w:id="0"/>
    <w:p w14:paraId="5DF3EB5C" w14:textId="70268478" w:rsidR="00FE526C" w:rsidRPr="00FE526C" w:rsidRDefault="00FE526C" w:rsidP="00FE526C">
      <w:pPr>
        <w:spacing w:after="200" w:line="276" w:lineRule="auto"/>
        <w:rPr>
          <w:rFonts w:ascii="Cambria" w:eastAsia="MS Mincho" w:hAnsi="Cambria" w:cs="Times New Roman"/>
        </w:rPr>
      </w:pP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</w:r>
      <w:r w:rsidRPr="00FE526C">
        <w:rPr>
          <w:rFonts w:ascii="Cambria" w:eastAsia="MS Mincho" w:hAnsi="Cambria" w:cs="Times New Roman"/>
        </w:rPr>
        <w:tab/>
        <w:t>Załącznik nr 1</w:t>
      </w:r>
      <w:r>
        <w:rPr>
          <w:rFonts w:ascii="Cambria" w:eastAsia="MS Mincho" w:hAnsi="Cambria" w:cs="Times New Roman"/>
        </w:rPr>
        <w:t>1</w:t>
      </w:r>
      <w:r w:rsidRPr="00FE526C">
        <w:rPr>
          <w:rFonts w:ascii="Cambria" w:eastAsia="MS Mincho" w:hAnsi="Cambria" w:cs="Times New Roman"/>
        </w:rPr>
        <w:t xml:space="preserve"> do SWZ</w:t>
      </w:r>
    </w:p>
    <w:p w14:paraId="12FB9BD2" w14:textId="77777777" w:rsidR="00FE526C" w:rsidRDefault="00FE526C" w:rsidP="00BA05D5">
      <w:pPr>
        <w:jc w:val="center"/>
        <w:rPr>
          <w:rFonts w:ascii="Times New Roman" w:hAnsi="Times New Roman" w:cs="Times New Roman"/>
          <w:b/>
          <w:bCs/>
        </w:rPr>
      </w:pPr>
    </w:p>
    <w:p w14:paraId="5A89B546" w14:textId="2B1E3C14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>SZCZEGÓŁOWY OPIS PRZEDMIOTU ZAMÓWIENIA</w:t>
      </w:r>
    </w:p>
    <w:p w14:paraId="276669D2" w14:textId="78DF3FEA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 xml:space="preserve">„Zakup </w:t>
      </w:r>
      <w:r>
        <w:rPr>
          <w:rFonts w:ascii="Times New Roman" w:hAnsi="Times New Roman" w:cs="Times New Roman"/>
          <w:b/>
          <w:bCs/>
        </w:rPr>
        <w:t xml:space="preserve">oraz dostawa </w:t>
      </w:r>
      <w:r w:rsidRPr="006F311B">
        <w:rPr>
          <w:rFonts w:ascii="Times New Roman" w:hAnsi="Times New Roman" w:cs="Times New Roman"/>
          <w:b/>
          <w:bCs/>
        </w:rPr>
        <w:t>rozdrabniacza mobilnego”</w:t>
      </w:r>
    </w:p>
    <w:p w14:paraId="1EF65F74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>Przedmiotem zamówienia jest zakup rozdrabniacza mobilnego dwuwałowego na gąsienicach wraz z dostawą do Instalacji gospodarowania odpadami komunalnymi w Rudzie gmina Wieluń zlokalizowanej na dz. nr 236/1 obręb Ruda, zarządzanej przez Przedsiębiorstwo Komunalne  Sp. z o.o. w Wieluniu ul. Zamenhofa 17, 98-300 Wieluń.</w:t>
      </w:r>
    </w:p>
    <w:p w14:paraId="6CB8A786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</w:p>
    <w:p w14:paraId="02FFBD57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 zakres zadania wchodzi:</w:t>
      </w:r>
    </w:p>
    <w:p w14:paraId="280F573F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dostawa (sprzedaż) fabrycznie nowego rozdrabniacza mobilnego dwuwałowego na gąsienicach, </w:t>
      </w:r>
    </w:p>
    <w:p w14:paraId="6F92DEE8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dostarczenie instrukcji obsługi i konserwacji, dostatecznie szczegółowej (z podziałem </w:t>
      </w:r>
      <w:r w:rsidRPr="006F311B">
        <w:rPr>
          <w:rFonts w:ascii="Times New Roman" w:hAnsi="Times New Roman" w:cs="Times New Roman"/>
        </w:rPr>
        <w:br/>
        <w:t>na czynności codzienne, cotygodniowe, itd.), aby Zamawiający mógł poprawnie eksploatować, konserwować, wymieniać części zużywające się,</w:t>
      </w:r>
    </w:p>
    <w:p w14:paraId="707E6503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przeszkolenie personelu obsługującego w zakresie eksploatacji, konserwacji maszyny oraz BHP w cenie maszyny – 5 osób,</w:t>
      </w:r>
    </w:p>
    <w:p w14:paraId="3BF6124F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dostarczenie dokumentacji maszyny w języku polskim:</w:t>
      </w:r>
    </w:p>
    <w:p w14:paraId="6A294207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instrukcja obsługi (dokumentacja techniczno-ruchowa, - schematy elektryczne, schematy hydrauliczne), </w:t>
      </w:r>
    </w:p>
    <w:p w14:paraId="4BD704DF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lastRenderedPageBreak/>
        <w:t>dokumentu potwierdzające spełnienie norm emisji spalania i hałasu,</w:t>
      </w:r>
    </w:p>
    <w:p w14:paraId="12E2C24B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książki serwisowej,</w:t>
      </w:r>
    </w:p>
    <w:p w14:paraId="20448493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karty gwarancyjnej,</w:t>
      </w:r>
    </w:p>
    <w:p w14:paraId="7F9EC042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katalogu części zamiennych w wersji elektronicznej,</w:t>
      </w:r>
    </w:p>
    <w:p w14:paraId="0842A169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świadectwa zgodności, świadectwa CE, inne niezbędne dokumenty i certyfikaty</w:t>
      </w:r>
    </w:p>
    <w:p w14:paraId="7F36EF50" w14:textId="77777777" w:rsidR="006F311B" w:rsidRPr="006F311B" w:rsidRDefault="006F311B" w:rsidP="006F311B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wykaz wszystkich czynności serwisowych wykonywanych podczas poszczególnych przeglądów rozdrabniacza zgodnie z zapisami DTR oraz zadeklarowanym okresem gwarancji.</w:t>
      </w:r>
    </w:p>
    <w:p w14:paraId="7987DCC6" w14:textId="77777777" w:rsidR="006F311B" w:rsidRPr="006F311B" w:rsidRDefault="006F311B" w:rsidP="006F311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udzielenie gwarancji na dostarczony rozdrabniacz mobilny minimum 24 miesiące lub 1500 motogodzin (w zależności co nastąpi pierwsze), liczonej od daty spisania protokołu zdawczo-odbiorczego podpisanego przez obie strony lub zawartego w powyższym protokole stanu licznika przepracowanych motogodzin rozdrabniacza mobilnego. </w:t>
      </w:r>
    </w:p>
    <w:p w14:paraId="6C2D9CED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zapewnienie autoryzowanej obsługi (w okresie gwarancji). Przez autoryzowaną obsługę rozumie się dostęp do autoryzowanej stacji serwisowej (lub mobilnego serwisanta) zdolnej do dokonania napraw wszelkich możliwych uszkodzeń urządzenia,</w:t>
      </w:r>
    </w:p>
    <w:p w14:paraId="2CEA19D3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zapewnienie terminu dostawy rozdrabniacza mobilnego maksymalnie do 120 dni od daty podpisania umowy,</w:t>
      </w:r>
    </w:p>
    <w:p w14:paraId="2BED7285" w14:textId="77777777" w:rsidR="006F311B" w:rsidRPr="006F311B" w:rsidRDefault="006F311B" w:rsidP="006F311B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przekazanie rozdrabniacza mobilnego do użytkowania.</w:t>
      </w:r>
    </w:p>
    <w:p w14:paraId="4F4F1B01" w14:textId="77777777" w:rsidR="006F311B" w:rsidRPr="006F311B" w:rsidRDefault="006F311B" w:rsidP="006F311B">
      <w:pPr>
        <w:rPr>
          <w:rFonts w:ascii="Times New Roman" w:hAnsi="Times New Roman" w:cs="Times New Roman"/>
        </w:rPr>
      </w:pPr>
    </w:p>
    <w:p w14:paraId="2BE4A611" w14:textId="7D0EBF65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Dostarczany rozdrabniacz mobilny musi być kompletny, fabrycznie nowy, wykonany w wysokim standardzie oraz musi pochodzić z seryjnej produkcji. Fabrycznie nowy, bez przebiegu (lub z przebiegiem wynikającym z technologii produkcji maszyny i przygotowania jej do sprzedaży). Rok produkcji nie starszy niż 2025 r. Wykonawca powinien być producentem lub autoryzowanym przedstawicielem producenta oferowanego rozdrabniacza mobilnego.</w:t>
      </w:r>
      <w:r w:rsidRPr="006F311B">
        <w:rPr>
          <w:rFonts w:ascii="Times New Roman" w:hAnsi="Times New Roman" w:cs="Times New Roman"/>
        </w:rPr>
        <w:br/>
      </w:r>
    </w:p>
    <w:p w14:paraId="7DC3A7B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Specyfikacja techniczna:</w:t>
      </w:r>
    </w:p>
    <w:p w14:paraId="56066455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Wymagania podstawowe</w:t>
      </w:r>
    </w:p>
    <w:p w14:paraId="4E44021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Dopuszczalna masa całkowita: do 18 Mg</w:t>
      </w:r>
    </w:p>
    <w:p w14:paraId="22113E2B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Maszyna zabudowana na podwoziu gąsienicowym</w:t>
      </w:r>
    </w:p>
    <w:p w14:paraId="0A8ABD3C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Gąsienice wyposażone w nakładki zabezpieczające przed uszkodzeniem podłoża betonowego podczas poruszania się po nim</w:t>
      </w:r>
    </w:p>
    <w:p w14:paraId="078A5076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Centralny układ smarowania</w:t>
      </w:r>
    </w:p>
    <w:p w14:paraId="603D720B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Napęd</w:t>
      </w:r>
    </w:p>
    <w:p w14:paraId="304CEC2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Silnik spalinowy wysokoprężny.</w:t>
      </w:r>
    </w:p>
    <w:p w14:paraId="120CA46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Norma emisji spalin minimum: Euro 5</w:t>
      </w:r>
    </w:p>
    <w:p w14:paraId="0A0BF683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Moc: nie mniej niż 210 kW</w:t>
      </w:r>
    </w:p>
    <w:p w14:paraId="07FCB312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lastRenderedPageBreak/>
        <w:t>Liczba cylindrów: min. 6</w:t>
      </w:r>
    </w:p>
    <w:p w14:paraId="046E64DA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Pojemność skokowa: min. 7700 cm3</w:t>
      </w:r>
    </w:p>
    <w:p w14:paraId="1A1FB23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Pojemność zbiornika paliwa: min. 400 litrów</w:t>
      </w:r>
    </w:p>
    <w:p w14:paraId="4D0502EF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Rewers zespołu chłodnic</w:t>
      </w:r>
    </w:p>
    <w:p w14:paraId="544E5693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Rewers chłodnicy oleju</w:t>
      </w:r>
    </w:p>
    <w:p w14:paraId="5C5C37BE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Grzałka oleju hydraulicznego</w:t>
      </w:r>
    </w:p>
    <w:p w14:paraId="58D354E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Oświetlenie komory silnika</w:t>
      </w:r>
    </w:p>
    <w:p w14:paraId="3E6D1CCD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Rozdrabnianie materiału</w:t>
      </w:r>
    </w:p>
    <w:p w14:paraId="7AF6BA1D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Wały rozdrabniające: min. 2 szt. z systemem rewersu pod obciążeniem </w:t>
      </w:r>
    </w:p>
    <w:p w14:paraId="664EDBF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Oba wały zamontowane w tzw.  kasecie umożliwiającej dokonanie tzw. „szybkiej wymiany” </w:t>
      </w:r>
    </w:p>
    <w:p w14:paraId="7A59DFF5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Wały pracujące w systemie synchronicznym i asynchronicznym</w:t>
      </w:r>
    </w:p>
    <w:p w14:paraId="64F1A78C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Liczba pierścieni rozdrabniających: min. 9 na jednym wale</w:t>
      </w:r>
    </w:p>
    <w:p w14:paraId="25B5954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Liczba noży i zgniataczy na pierścieniach: min. 6 na jednym pierścieniu </w:t>
      </w:r>
    </w:p>
    <w:p w14:paraId="422CA274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Wymiary wałów roboczych (długość / średnica): min 1550/685 [mm]</w:t>
      </w:r>
    </w:p>
    <w:p w14:paraId="456117EE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Belka rozdrabniająca pod wałami tzw. grzebień </w:t>
      </w:r>
    </w:p>
    <w:p w14:paraId="38DFCC7E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Prędkość obrotowa wałów: do 37 [</w:t>
      </w:r>
      <w:proofErr w:type="spellStart"/>
      <w:r w:rsidRPr="006F311B">
        <w:rPr>
          <w:rFonts w:ascii="Times New Roman" w:hAnsi="Times New Roman" w:cs="Times New Roman"/>
        </w:rPr>
        <w:t>obr</w:t>
      </w:r>
      <w:proofErr w:type="spellEnd"/>
      <w:r w:rsidRPr="006F311B">
        <w:rPr>
          <w:rFonts w:ascii="Times New Roman" w:hAnsi="Times New Roman" w:cs="Times New Roman"/>
        </w:rPr>
        <w:t>/min]</w:t>
      </w:r>
    </w:p>
    <w:p w14:paraId="7CB4DF1A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Wymiary komory roboczej (długość / szerokość): min 1620/2340  [mm]</w:t>
      </w:r>
    </w:p>
    <w:p w14:paraId="41DFE6C6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Hydraulicznie sterowane (z pulpitu i pilota) ustawienia położenia ścian bocznych komory rozdrabniającej </w:t>
      </w:r>
    </w:p>
    <w:p w14:paraId="45A51D5C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Wysokość załadunku: max. 2600  [mm]</w:t>
      </w:r>
    </w:p>
    <w:p w14:paraId="6A642DAF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Pojemność wanny zasypowej: min. 2,5 m3</w:t>
      </w:r>
    </w:p>
    <w:p w14:paraId="2039758F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Zapewnienie dodatkowego jednego kompletu dwóch wałów w jednej  kacecie tzw. „szybkiej wymiany” o następujących parametrach:</w:t>
      </w:r>
    </w:p>
    <w:p w14:paraId="575FA067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 - liczba pierścieni rozdrabniających: min. 9 szt. na jednym wale</w:t>
      </w:r>
    </w:p>
    <w:p w14:paraId="0A9964C4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 - liczba zgniataczy na pierścieniu - min. 2 szt. na jednym pierścieniu.</w:t>
      </w:r>
    </w:p>
    <w:p w14:paraId="39BB626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Zapewnienie dodatkowej belki rozdrabniająca pod wałami tzw. stożek</w:t>
      </w:r>
    </w:p>
    <w:p w14:paraId="64BB1A41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Główny panel sterowania</w:t>
      </w:r>
    </w:p>
    <w:p w14:paraId="78EB0DB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Włączanie i wyłączanie wszystkich funkcji rozdrabniacza</w:t>
      </w:r>
    </w:p>
    <w:p w14:paraId="6C7A5170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Włączanie i wyłączanie pracy wałów rozdrabniających</w:t>
      </w:r>
    </w:p>
    <w:p w14:paraId="2B9330CC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Regulacja prędkości wałów</w:t>
      </w:r>
    </w:p>
    <w:p w14:paraId="48C3C65E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Sygnalizacja dźwiękowa przed uruchomieniem rozdrabniania</w:t>
      </w:r>
    </w:p>
    <w:p w14:paraId="199DF033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Pilot ze sterowaniem radiowym maszyny do obsługi rozdrabniacza (funkcji pracy oraz jazdy)</w:t>
      </w:r>
    </w:p>
    <w:p w14:paraId="5B14852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lastRenderedPageBreak/>
        <w:t>Wyświetlacz pokazujący min:</w:t>
      </w:r>
    </w:p>
    <w:p w14:paraId="3D4524F3" w14:textId="77777777" w:rsidR="006F311B" w:rsidRPr="006F311B" w:rsidRDefault="006F311B" w:rsidP="006F311B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prędkość obrotową wału korbowego silnika,</w:t>
      </w:r>
    </w:p>
    <w:p w14:paraId="20A75AD1" w14:textId="77777777" w:rsidR="006F311B" w:rsidRPr="006F311B" w:rsidRDefault="006F311B" w:rsidP="006F311B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sumaryczny czas pracy urządzenia,</w:t>
      </w:r>
    </w:p>
    <w:p w14:paraId="4F53C3EA" w14:textId="77777777" w:rsidR="006F311B" w:rsidRPr="006F311B" w:rsidRDefault="006F311B" w:rsidP="006F311B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zużycie i poziom paliwa</w:t>
      </w:r>
    </w:p>
    <w:p w14:paraId="5B8FC67E" w14:textId="77777777" w:rsidR="006F311B" w:rsidRPr="006F311B" w:rsidRDefault="006F311B" w:rsidP="006F311B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poziom ad </w:t>
      </w:r>
      <w:proofErr w:type="spellStart"/>
      <w:r w:rsidRPr="006F311B">
        <w:rPr>
          <w:rFonts w:ascii="Times New Roman" w:hAnsi="Times New Roman" w:cs="Times New Roman"/>
        </w:rPr>
        <w:t>blue</w:t>
      </w:r>
      <w:proofErr w:type="spellEnd"/>
    </w:p>
    <w:p w14:paraId="35BEAB7D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Przenośnik odprowadzający frakcję rozdrobnioną</w:t>
      </w:r>
    </w:p>
    <w:p w14:paraId="6EC59A7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Szerokość taśmy przenośnika: min. 900 mm</w:t>
      </w:r>
    </w:p>
    <w:p w14:paraId="2DC3F96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Długość przenośnika: min. 6500 mm</w:t>
      </w:r>
    </w:p>
    <w:p w14:paraId="524408E3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Taśma wyposażona w zabieraki</w:t>
      </w:r>
    </w:p>
    <w:p w14:paraId="1715BAD8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Prędkość transportu regulowana</w:t>
      </w:r>
    </w:p>
    <w:p w14:paraId="37ADA3CC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Przenośnik składany i rozkładany hydraulicznie</w:t>
      </w:r>
    </w:p>
    <w:p w14:paraId="1B718CD9" w14:textId="77777777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Separator metali żelaznych </w:t>
      </w:r>
      <w:proofErr w:type="spellStart"/>
      <w:r w:rsidRPr="006F311B">
        <w:rPr>
          <w:rFonts w:ascii="Times New Roman" w:hAnsi="Times New Roman" w:cs="Times New Roman"/>
        </w:rPr>
        <w:t>nadtaśmowy</w:t>
      </w:r>
      <w:proofErr w:type="spellEnd"/>
      <w:r w:rsidRPr="006F311B">
        <w:rPr>
          <w:rFonts w:ascii="Times New Roman" w:hAnsi="Times New Roman" w:cs="Times New Roman"/>
        </w:rPr>
        <w:t xml:space="preserve"> wraz z zsypnią z możliwością hydraulicznej regulacji wysokości</w:t>
      </w:r>
    </w:p>
    <w:p w14:paraId="6E351C19" w14:textId="77777777" w:rsidR="006F311B" w:rsidRPr="006F311B" w:rsidRDefault="006F311B" w:rsidP="006F311B">
      <w:pPr>
        <w:rPr>
          <w:rFonts w:ascii="Times New Roman" w:hAnsi="Times New Roman" w:cs="Times New Roman"/>
        </w:rPr>
      </w:pPr>
    </w:p>
    <w:p w14:paraId="0C0BD6AF" w14:textId="39D1848C" w:rsidR="006F311B" w:rsidRPr="006F311B" w:rsidRDefault="006F311B" w:rsidP="006F311B">
      <w:p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Gwarancja</w:t>
      </w:r>
    </w:p>
    <w:p w14:paraId="3D37ADF9" w14:textId="77777777" w:rsidR="006F311B" w:rsidRPr="006F311B" w:rsidRDefault="006F311B" w:rsidP="006F311B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Okres gwarancyjny na oferowany rozdrabniacz mobilny liczony od daty spisania protokołu zdawczo-odbiorczego podpisanego przez obie strony lub zawartego w powyższym protokole stanu licznika przepracowanych motogodzin rozdrabniacza mobilnego. Okres gwarancji zgodnie z złożoną deklaracją (w zależności co upłynie wcześniej):</w:t>
      </w:r>
    </w:p>
    <w:p w14:paraId="1C19FE5A" w14:textId="77777777" w:rsidR="006F311B" w:rsidRPr="006F311B" w:rsidRDefault="006F311B" w:rsidP="006F311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24 miesiące lub 1500 motogodzin – wszystkie przeglądy do 1500 motogodzin (zgodnie z zapisami DTR). Zakres ostatniego przeglądu wykonany na 1500 motogodzin lub przed zakończeniem 24 miesięcznej gwarancji – zakres przeglądu ten sam co w przypadku 1500 motogodzin), lub</w:t>
      </w:r>
    </w:p>
    <w:p w14:paraId="2C3F94D1" w14:textId="77777777" w:rsidR="006F311B" w:rsidRPr="006F311B" w:rsidRDefault="006F311B" w:rsidP="006F311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36 miesięcy lub 2000 motogodzin – wszystkie przeglądy do 2000 motogodzin (zgodnie z zapisami DTR). Zakres ostatniego przeglądu wykonany na 2000 motogodzin lub przed zakończeniem 36 miesięcznej gwarancji – zakres przeglądu ten sam co w przypadku 2000 motogodzin).</w:t>
      </w:r>
    </w:p>
    <w:p w14:paraId="1E3CF2C4" w14:textId="77777777" w:rsidR="006F311B" w:rsidRPr="006F311B" w:rsidRDefault="006F311B" w:rsidP="006F311B">
      <w:pPr>
        <w:numPr>
          <w:ilvl w:val="0"/>
          <w:numId w:val="5"/>
        </w:numPr>
        <w:rPr>
          <w:rFonts w:ascii="Times New Roman" w:hAnsi="Times New Roman" w:cs="Times New Roman"/>
        </w:rPr>
      </w:pPr>
      <w:bookmarkStart w:id="1" w:name="_Hlk203130972"/>
      <w:r w:rsidRPr="006F311B">
        <w:rPr>
          <w:rFonts w:ascii="Times New Roman" w:hAnsi="Times New Roman" w:cs="Times New Roman"/>
        </w:rPr>
        <w:t xml:space="preserve">Gwarancja obejmuje bezpłatny: serwis, dojazd, pełny zakres obsługi, przeglądów i napraw (ewentualny transport, dojazd do miejsca wykonania naprawy, robocizna, wymiana wadliwych części wyłącznie na fabryczne nowe, wymianę części i płynów eksploatacyjnych). </w:t>
      </w:r>
    </w:p>
    <w:bookmarkEnd w:id="1"/>
    <w:p w14:paraId="2339FEB4" w14:textId="77777777" w:rsidR="006F311B" w:rsidRPr="006F311B" w:rsidRDefault="006F311B" w:rsidP="006F311B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Wykonawca zobowiązuje się do zapewnienia przeglądów i napraw gwarancyjnych w miejscu użytkowania rozdrabniacza mobilnego (tj. Instalacji gospodarowania odpadami komunalnymi w Rudzie gmina Wieluń zlokalizowanej na dz. nr 236/1 obręb Ruda,). W przypadku, gdy nie jest możliwa naprawa na miejscu, Wykonawca dokona odbioru i dostarczenia rozdrabniacza mobilnego na własny koszt do miejsca serwisowania i z powrotem do instalacji w Rudzie po dokonaniu naprawy.</w:t>
      </w:r>
    </w:p>
    <w:p w14:paraId="02ED0D65" w14:textId="77777777" w:rsidR="006F311B" w:rsidRPr="006F311B" w:rsidRDefault="006F311B" w:rsidP="006F311B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Czas reakcji związany z usunięciem awarii w okresie gwarancji wynosi dwa dni robocze. Usunięcie awarii powinno trwać maksymalnie do 7 dni od daty zgłoszenia awarii faksem lub e-</w:t>
      </w:r>
      <w:r w:rsidRPr="006F311B">
        <w:rPr>
          <w:rFonts w:ascii="Times New Roman" w:hAnsi="Times New Roman" w:cs="Times New Roman"/>
        </w:rPr>
        <w:lastRenderedPageBreak/>
        <w:t>mailem na kontakt podany w umowie. Jeżeli wystąpi konieczność importu części zamiennych lub inne nieprzewidziane a uzasadnione okoliczności, naprawa zostanie wykonana w ciągu 14 dni od daty zgłoszenia awarii lub w innym terminie uzgodnionym pomiędzy stronami w trybie roboczym. O wydłużeniu terminu usunięcia awarii powyżej 7 dni każdorazowo Wykonawca obowiązkowo poinformuje przedstawiciela Zamawiającego wraz z uzasadnieniem. Termin naliczania kar umownych zaczyna swój bieg po upływie 7 dni przewidzianych na usunięcie awarii, w przypadku niezgłoszenia zmiany terminu lub nieuzyskania akceptacji Zamawiającego na zmianę terminu usunięcia awarii. W przypadku uzgodnienia przedłużonego terminu z Zamawiającym termin naliczania kar umownych zaczyna swój bieg od dnia naruszenia tego terminu.</w:t>
      </w:r>
    </w:p>
    <w:p w14:paraId="5B27928A" w14:textId="77777777" w:rsidR="006F311B" w:rsidRPr="006F311B" w:rsidRDefault="006F311B" w:rsidP="006F311B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 przypadku przedłużenia czasu usunięcia awarii powodującej wyłączenie rozdrabniacza mobilnego z ruchu na okres powyżej 14 dni od daty zgłoszenia awarii, Wykonawca zobowiązany jest do dostarczenia na własny koszt rozdrabniacza mobilnego zastępczego (o parametrach zbliżonych - równoważnych do sprzedawanego) w uzgodnieniu z Zamawiającym, do czasu usunięcia awarii przez serwis Wykonawcy. Dostawa rozdrabniacza mobilnego zastępczego powinna być dokonana najpóźniej w 15 dniu od daty dokonania zgłoszenia awarii na teren instalacji w Rudzie, natomiast odbiór nie wcześniej niż data rozpoczęcia pracy naprawionego rozdrabniacza mobilnego na instalacji w Rudzie. Koszt dostawy i odbioru rozdrabniacza mobilnego zastępczego leży po stronie Wykonawcy.  W przypadku niedostarczenia rozdrabniacza mobilnego zastępczego Zamawiający ma prawo wynająć rozdrabniacz mobilny do czasu usunięcia awarii a kosztami wynajmu obciążyć Wykonawcę.</w:t>
      </w:r>
    </w:p>
    <w:p w14:paraId="182D907A" w14:textId="77777777" w:rsidR="006F311B" w:rsidRPr="006F311B" w:rsidRDefault="006F311B" w:rsidP="006F311B">
      <w:pPr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</w:rPr>
        <w:t>Koszty dojazdu serwisu do, i z miejsca użytkowania rozdrabniacza mobilnego w okresie gwarancyjnym oraz w ramach wykonywanych w okresie gwarancyjnym bezpłatnych przeglądów okresowych lub przewóz uszkodzonego przedmiotu zamówienia do i po naprawie w okresie gwarancyjnym są kosztem Dostawcy</w:t>
      </w:r>
      <w:r w:rsidRPr="006F311B">
        <w:rPr>
          <w:rFonts w:ascii="Times New Roman" w:hAnsi="Times New Roman" w:cs="Times New Roman"/>
          <w:b/>
          <w:bCs/>
        </w:rPr>
        <w:t>.</w:t>
      </w:r>
    </w:p>
    <w:p w14:paraId="270C68B8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</w:p>
    <w:p w14:paraId="221A30DD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</w:p>
    <w:p w14:paraId="61D155D7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Sugerowane Kryteria wyboru oferty:</w:t>
      </w:r>
    </w:p>
    <w:p w14:paraId="36D704DA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3382"/>
        <w:gridCol w:w="1372"/>
        <w:gridCol w:w="3520"/>
      </w:tblGrid>
      <w:tr w:rsidR="006F311B" w:rsidRPr="006F311B" w14:paraId="26B90DD6" w14:textId="77777777" w:rsidTr="004872D5">
        <w:trPr>
          <w:jc w:val="center"/>
        </w:trPr>
        <w:tc>
          <w:tcPr>
            <w:tcW w:w="570" w:type="dxa"/>
            <w:vAlign w:val="center"/>
          </w:tcPr>
          <w:p w14:paraId="71E200AD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382" w:type="dxa"/>
            <w:vAlign w:val="center"/>
          </w:tcPr>
          <w:p w14:paraId="0640D2C1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Nazwa kryterium</w:t>
            </w:r>
          </w:p>
        </w:tc>
        <w:tc>
          <w:tcPr>
            <w:tcW w:w="1372" w:type="dxa"/>
            <w:vAlign w:val="center"/>
          </w:tcPr>
          <w:p w14:paraId="7FE1EAC9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Waga</w:t>
            </w:r>
          </w:p>
        </w:tc>
        <w:tc>
          <w:tcPr>
            <w:tcW w:w="3520" w:type="dxa"/>
            <w:vAlign w:val="center"/>
          </w:tcPr>
          <w:p w14:paraId="18F91576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Maksymalna liczba punktów jaką możne otrzymać oferta za dane kryterium</w:t>
            </w:r>
          </w:p>
        </w:tc>
      </w:tr>
      <w:tr w:rsidR="006F311B" w:rsidRPr="006F311B" w14:paraId="4AD54460" w14:textId="77777777" w:rsidTr="004872D5">
        <w:trPr>
          <w:jc w:val="center"/>
        </w:trPr>
        <w:tc>
          <w:tcPr>
            <w:tcW w:w="570" w:type="dxa"/>
            <w:vAlign w:val="center"/>
          </w:tcPr>
          <w:p w14:paraId="24548689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82" w:type="dxa"/>
            <w:vAlign w:val="center"/>
          </w:tcPr>
          <w:p w14:paraId="59BA0DA9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Cena – „C”</w:t>
            </w:r>
          </w:p>
        </w:tc>
        <w:tc>
          <w:tcPr>
            <w:tcW w:w="1372" w:type="dxa"/>
            <w:vAlign w:val="center"/>
          </w:tcPr>
          <w:p w14:paraId="51AAE8B5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3520" w:type="dxa"/>
            <w:vAlign w:val="center"/>
          </w:tcPr>
          <w:p w14:paraId="24AE3934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80 punktów</w:t>
            </w:r>
          </w:p>
        </w:tc>
      </w:tr>
      <w:tr w:rsidR="006F311B" w:rsidRPr="006F311B" w14:paraId="3109BEA9" w14:textId="77777777" w:rsidTr="004872D5">
        <w:trPr>
          <w:jc w:val="center"/>
        </w:trPr>
        <w:tc>
          <w:tcPr>
            <w:tcW w:w="570" w:type="dxa"/>
            <w:vAlign w:val="center"/>
          </w:tcPr>
          <w:p w14:paraId="72ACF176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82" w:type="dxa"/>
            <w:vAlign w:val="center"/>
          </w:tcPr>
          <w:p w14:paraId="6FB82CDB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Termin dostawy rozdrabniacza mobilnego  – „T”</w:t>
            </w:r>
          </w:p>
        </w:tc>
        <w:tc>
          <w:tcPr>
            <w:tcW w:w="1372" w:type="dxa"/>
            <w:vAlign w:val="center"/>
          </w:tcPr>
          <w:p w14:paraId="079DCA78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10 %</w:t>
            </w:r>
          </w:p>
        </w:tc>
        <w:tc>
          <w:tcPr>
            <w:tcW w:w="3520" w:type="dxa"/>
            <w:vAlign w:val="center"/>
          </w:tcPr>
          <w:p w14:paraId="4B6D0947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10 punktów</w:t>
            </w:r>
          </w:p>
        </w:tc>
      </w:tr>
      <w:tr w:rsidR="006F311B" w:rsidRPr="006F311B" w14:paraId="5D4442F0" w14:textId="77777777" w:rsidTr="004872D5">
        <w:trPr>
          <w:jc w:val="center"/>
        </w:trPr>
        <w:tc>
          <w:tcPr>
            <w:tcW w:w="570" w:type="dxa"/>
            <w:vAlign w:val="center"/>
          </w:tcPr>
          <w:p w14:paraId="5DE43960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82" w:type="dxa"/>
            <w:vAlign w:val="center"/>
          </w:tcPr>
          <w:p w14:paraId="177A0BDE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Gwarancja – „G”</w:t>
            </w:r>
          </w:p>
        </w:tc>
        <w:tc>
          <w:tcPr>
            <w:tcW w:w="1372" w:type="dxa"/>
            <w:vAlign w:val="center"/>
          </w:tcPr>
          <w:p w14:paraId="4025FE05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10 %</w:t>
            </w:r>
          </w:p>
        </w:tc>
        <w:tc>
          <w:tcPr>
            <w:tcW w:w="3520" w:type="dxa"/>
            <w:vAlign w:val="center"/>
          </w:tcPr>
          <w:p w14:paraId="0C8ECC67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10 punktów</w:t>
            </w:r>
          </w:p>
        </w:tc>
      </w:tr>
      <w:tr w:rsidR="006F311B" w:rsidRPr="006F311B" w14:paraId="67673894" w14:textId="77777777" w:rsidTr="004872D5">
        <w:trPr>
          <w:jc w:val="center"/>
        </w:trPr>
        <w:tc>
          <w:tcPr>
            <w:tcW w:w="3952" w:type="dxa"/>
            <w:gridSpan w:val="2"/>
            <w:vAlign w:val="center"/>
          </w:tcPr>
          <w:p w14:paraId="1EC8E1E2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Łączna liczba punktów</w:t>
            </w:r>
          </w:p>
        </w:tc>
        <w:tc>
          <w:tcPr>
            <w:tcW w:w="1372" w:type="dxa"/>
            <w:vAlign w:val="center"/>
          </w:tcPr>
          <w:p w14:paraId="1B8E55C6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3520" w:type="dxa"/>
            <w:vAlign w:val="center"/>
          </w:tcPr>
          <w:p w14:paraId="3E7D4906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100 punktów</w:t>
            </w:r>
          </w:p>
        </w:tc>
      </w:tr>
    </w:tbl>
    <w:p w14:paraId="7DF277F4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</w:p>
    <w:p w14:paraId="59F0C4F3" w14:textId="77777777" w:rsidR="006F311B" w:rsidRDefault="006F311B" w:rsidP="006F311B">
      <w:pPr>
        <w:jc w:val="center"/>
        <w:rPr>
          <w:rFonts w:ascii="Times New Roman" w:hAnsi="Times New Roman" w:cs="Times New Roman"/>
          <w:u w:val="single"/>
        </w:rPr>
      </w:pPr>
    </w:p>
    <w:p w14:paraId="4D790598" w14:textId="77777777" w:rsidR="00655F18" w:rsidRDefault="00655F18" w:rsidP="006F311B">
      <w:pPr>
        <w:jc w:val="center"/>
        <w:rPr>
          <w:rFonts w:ascii="Times New Roman" w:hAnsi="Times New Roman" w:cs="Times New Roman"/>
          <w:u w:val="single"/>
        </w:rPr>
      </w:pPr>
    </w:p>
    <w:p w14:paraId="2BC716A7" w14:textId="77777777" w:rsidR="00655F18" w:rsidRPr="006F311B" w:rsidRDefault="00655F18" w:rsidP="006F311B">
      <w:pPr>
        <w:jc w:val="center"/>
        <w:rPr>
          <w:rFonts w:ascii="Times New Roman" w:hAnsi="Times New Roman" w:cs="Times New Roman"/>
          <w:u w:val="single"/>
        </w:rPr>
      </w:pPr>
    </w:p>
    <w:p w14:paraId="04C07B1E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u w:val="single"/>
        </w:rPr>
      </w:pPr>
      <w:r w:rsidRPr="006F311B">
        <w:rPr>
          <w:rFonts w:ascii="Times New Roman" w:hAnsi="Times New Roman" w:cs="Times New Roman"/>
          <w:b/>
          <w:bCs/>
          <w:u w:val="single"/>
        </w:rPr>
        <w:lastRenderedPageBreak/>
        <w:t>Kryterium „Cena” – „C”</w:t>
      </w:r>
      <w:r w:rsidRPr="006F311B">
        <w:rPr>
          <w:rFonts w:ascii="Times New Roman" w:hAnsi="Times New Roman" w:cs="Times New Roman"/>
          <w:u w:val="single"/>
        </w:rPr>
        <w:t xml:space="preserve"> :</w:t>
      </w:r>
    </w:p>
    <w:p w14:paraId="673FE365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Punkty przyznane za kryterium „CENA – C” będą liczone w następujący sposób: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1"/>
        <w:gridCol w:w="1113"/>
        <w:gridCol w:w="4851"/>
      </w:tblGrid>
      <w:tr w:rsidR="006F311B" w:rsidRPr="006F311B" w14:paraId="2E1FA50A" w14:textId="77777777" w:rsidTr="004872D5">
        <w:trPr>
          <w:jc w:val="center"/>
        </w:trPr>
        <w:tc>
          <w:tcPr>
            <w:tcW w:w="247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38E0F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liczba punktów „C”  =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6D8C4C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 xml:space="preserve">C </w:t>
            </w:r>
            <w:r w:rsidRPr="006F311B">
              <w:rPr>
                <w:rFonts w:ascii="Times New Roman" w:hAnsi="Times New Roman" w:cs="Times New Roman"/>
                <w:vertAlign w:val="subscript"/>
              </w:rPr>
              <w:t>min</w:t>
            </w:r>
          </w:p>
        </w:tc>
        <w:tc>
          <w:tcPr>
            <w:tcW w:w="48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17F3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r w:rsidRPr="006F311B">
              <w:rPr>
                <w:rFonts w:ascii="Times New Roman" w:hAnsi="Times New Roman" w:cs="Times New Roman"/>
              </w:rPr>
              <w:t>X waga kryterium x 100</w:t>
            </w:r>
          </w:p>
        </w:tc>
      </w:tr>
      <w:tr w:rsidR="006F311B" w:rsidRPr="006F311B" w14:paraId="4F8CBE57" w14:textId="77777777" w:rsidTr="004872D5">
        <w:trPr>
          <w:jc w:val="center"/>
        </w:trPr>
        <w:tc>
          <w:tcPr>
            <w:tcW w:w="24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B295B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3E4ECB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311B">
              <w:rPr>
                <w:rFonts w:ascii="Times New Roman" w:hAnsi="Times New Roman" w:cs="Times New Roman"/>
              </w:rPr>
              <w:t>C</w:t>
            </w:r>
            <w:r w:rsidRPr="006F311B">
              <w:rPr>
                <w:rFonts w:ascii="Times New Roman" w:hAnsi="Times New Roman" w:cs="Times New Roman"/>
                <w:vertAlign w:val="subscript"/>
              </w:rPr>
              <w:t>bad</w:t>
            </w:r>
            <w:proofErr w:type="spellEnd"/>
          </w:p>
        </w:tc>
        <w:tc>
          <w:tcPr>
            <w:tcW w:w="48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618735" w14:textId="77777777" w:rsidR="006F311B" w:rsidRPr="006F311B" w:rsidRDefault="006F311B" w:rsidP="006F31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56EF163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</w:p>
    <w:p w14:paraId="6C2F3E60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gdzie:</w:t>
      </w:r>
    </w:p>
    <w:p w14:paraId="6B78D9CA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proofErr w:type="spellStart"/>
      <w:r w:rsidRPr="006F311B">
        <w:rPr>
          <w:rFonts w:ascii="Times New Roman" w:hAnsi="Times New Roman" w:cs="Times New Roman"/>
        </w:rPr>
        <w:t>C</w:t>
      </w:r>
      <w:r w:rsidRPr="006F311B">
        <w:rPr>
          <w:rFonts w:ascii="Times New Roman" w:hAnsi="Times New Roman" w:cs="Times New Roman"/>
          <w:vertAlign w:val="subscript"/>
        </w:rPr>
        <w:t>min</w:t>
      </w:r>
      <w:proofErr w:type="spellEnd"/>
      <w:r w:rsidRPr="006F311B">
        <w:rPr>
          <w:rFonts w:ascii="Times New Roman" w:hAnsi="Times New Roman" w:cs="Times New Roman"/>
        </w:rPr>
        <w:t xml:space="preserve"> – najniższa cena brutto wśród ważnych ofert,</w:t>
      </w:r>
    </w:p>
    <w:p w14:paraId="16481066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proofErr w:type="spellStart"/>
      <w:r w:rsidRPr="006F311B">
        <w:rPr>
          <w:rFonts w:ascii="Times New Roman" w:hAnsi="Times New Roman" w:cs="Times New Roman"/>
        </w:rPr>
        <w:t>C</w:t>
      </w:r>
      <w:r w:rsidRPr="006F311B">
        <w:rPr>
          <w:rFonts w:ascii="Times New Roman" w:hAnsi="Times New Roman" w:cs="Times New Roman"/>
          <w:vertAlign w:val="subscript"/>
        </w:rPr>
        <w:t>bad</w:t>
      </w:r>
      <w:proofErr w:type="spellEnd"/>
      <w:r w:rsidRPr="006F311B">
        <w:rPr>
          <w:rFonts w:ascii="Times New Roman" w:hAnsi="Times New Roman" w:cs="Times New Roman"/>
        </w:rPr>
        <w:t xml:space="preserve"> – cena brutto badanej oferty.</w:t>
      </w:r>
    </w:p>
    <w:p w14:paraId="65A9CFD3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</w:p>
    <w:p w14:paraId="3E96C963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  <w:b/>
          <w:bCs/>
        </w:rPr>
        <w:t>Kryterium „Termin dostawy</w:t>
      </w:r>
      <w:r w:rsidRPr="006F311B">
        <w:rPr>
          <w:rFonts w:ascii="Times New Roman" w:hAnsi="Times New Roman" w:cs="Times New Roman"/>
        </w:rPr>
        <w:t>” – „T” (termin dostawy: do 30 dni,  od 31 do 60 dni, maksymalny termin: od 61 do 120 dni) od daty podpisania umowy.</w:t>
      </w:r>
    </w:p>
    <w:p w14:paraId="39B8BED8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ab/>
        <w:t>Punkty przyznane za kryterium „Termin dostawy rozdrabniacza mobilnego” – „T” będą liczone w następujący sposób:</w:t>
      </w:r>
    </w:p>
    <w:p w14:paraId="7F7E432D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ab/>
        <w:t>do 30 dni – 10 pkt</w:t>
      </w:r>
    </w:p>
    <w:p w14:paraId="29E405F7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ab/>
        <w:t>od 31 do 60 dni – 5 pkt</w:t>
      </w:r>
    </w:p>
    <w:p w14:paraId="2BC5AEDF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ab/>
        <w:t>od 61 do 120 dni – 0 pkt.</w:t>
      </w:r>
    </w:p>
    <w:p w14:paraId="59D26831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Wykonawca wskazuje na formularzu ofertowym odpowiednio: do 30, od 31 do 60 dni , maksymalny termin: od 61 do 120 dni.</w:t>
      </w:r>
    </w:p>
    <w:p w14:paraId="77F40F11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 xml:space="preserve">Jeżeli Wykonawca na druku formularza ofertowego nie wypełni zobowiązania dotyczącego terminu dostawy, Zamawiający uzna, że Wykonawca przyjął termin wynoszący od 61 do 120 dni i przyzna 0 punktów. </w:t>
      </w:r>
    </w:p>
    <w:p w14:paraId="68F2F543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</w:p>
    <w:p w14:paraId="4BB7EF5E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>Kryterium „Gwarancja” – „G”</w:t>
      </w:r>
    </w:p>
    <w:p w14:paraId="6A66D5CB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  <w:b/>
          <w:bCs/>
        </w:rPr>
        <w:tab/>
      </w:r>
      <w:r w:rsidRPr="006F311B">
        <w:rPr>
          <w:rFonts w:ascii="Times New Roman" w:hAnsi="Times New Roman" w:cs="Times New Roman"/>
          <w:b/>
          <w:bCs/>
        </w:rPr>
        <w:tab/>
      </w:r>
      <w:r w:rsidRPr="006F311B">
        <w:rPr>
          <w:rFonts w:ascii="Times New Roman" w:hAnsi="Times New Roman" w:cs="Times New Roman"/>
        </w:rPr>
        <w:t>Za zadeklarowanie okresu gwarancji wyrażonej w miesiącach oraz motogodzinach (w zależności co nastąpi pierwsze), zostaną przyznane punkty według następujących zasad:</w:t>
      </w:r>
    </w:p>
    <w:p w14:paraId="0624B520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Okres gwarancji na przedmiot zamówienia 24 miesiące lub 1500 motogodzin – 0 pkt.,</w:t>
      </w:r>
    </w:p>
    <w:p w14:paraId="49454113" w14:textId="77777777" w:rsidR="006F311B" w:rsidRPr="006F311B" w:rsidRDefault="006F311B" w:rsidP="006F311B">
      <w:pPr>
        <w:jc w:val="center"/>
        <w:rPr>
          <w:rFonts w:ascii="Times New Roman" w:hAnsi="Times New Roman" w:cs="Times New Roman"/>
        </w:rPr>
      </w:pPr>
      <w:r w:rsidRPr="006F311B">
        <w:rPr>
          <w:rFonts w:ascii="Times New Roman" w:hAnsi="Times New Roman" w:cs="Times New Roman"/>
        </w:rPr>
        <w:t>Okres gwarancji na przedmiot zamówienia 36 miesięcy lub 2000 motogodzin – 10 pkt.</w:t>
      </w:r>
    </w:p>
    <w:p w14:paraId="00DE5571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  <w:i/>
        </w:rPr>
      </w:pPr>
    </w:p>
    <w:p w14:paraId="6C8073DD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i/>
        </w:rPr>
      </w:pPr>
      <w:r w:rsidRPr="006F311B">
        <w:rPr>
          <w:rFonts w:ascii="Times New Roman" w:hAnsi="Times New Roman" w:cs="Times New Roman"/>
          <w:b/>
          <w:bCs/>
          <w:i/>
        </w:rPr>
        <w:tab/>
      </w:r>
      <w:r w:rsidRPr="006F311B">
        <w:rPr>
          <w:rFonts w:ascii="Times New Roman" w:hAnsi="Times New Roman" w:cs="Times New Roman"/>
          <w:b/>
          <w:bCs/>
          <w:i/>
          <w:u w:val="single"/>
        </w:rPr>
        <w:t>UWAGA:</w:t>
      </w:r>
      <w:r w:rsidRPr="006F311B">
        <w:rPr>
          <w:rFonts w:ascii="Times New Roman" w:hAnsi="Times New Roman" w:cs="Times New Roman"/>
          <w:b/>
          <w:bCs/>
          <w:i/>
        </w:rPr>
        <w:t xml:space="preserve"> </w:t>
      </w:r>
      <w:r w:rsidRPr="006F311B">
        <w:rPr>
          <w:rFonts w:ascii="Times New Roman" w:hAnsi="Times New Roman" w:cs="Times New Roman"/>
          <w:i/>
        </w:rPr>
        <w:t xml:space="preserve">Wykonawca uzyska punkty w przypadku wpisania w Formularzu Oferty </w:t>
      </w:r>
      <w:r w:rsidRPr="006F311B">
        <w:rPr>
          <w:rFonts w:ascii="Times New Roman" w:hAnsi="Times New Roman" w:cs="Times New Roman"/>
          <w:i/>
        </w:rPr>
        <w:br/>
        <w:t xml:space="preserve">(w wykropkowanym miejscu) okresu gwarancji określonego miesiącach oraz  motogodzinach. </w:t>
      </w:r>
    </w:p>
    <w:p w14:paraId="16E9DEBF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i/>
        </w:rPr>
      </w:pPr>
      <w:r w:rsidRPr="006F311B">
        <w:rPr>
          <w:rFonts w:ascii="Times New Roman" w:hAnsi="Times New Roman" w:cs="Times New Roman"/>
          <w:i/>
        </w:rPr>
        <w:t>W przypadku braku wypełnienia oświadczenia w Formularzu Oferty, Zamawiający uzna, iż Wykonawca deklaruje okres gwarancji wymagany najkrótszy, tj. 24 miesiące lub 1500 motogodzin i przyzna mu 0 punktów w tym kryterium.</w:t>
      </w:r>
    </w:p>
    <w:p w14:paraId="25131556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i/>
        </w:rPr>
      </w:pPr>
      <w:r w:rsidRPr="006F311B">
        <w:rPr>
          <w:rFonts w:ascii="Times New Roman" w:hAnsi="Times New Roman" w:cs="Times New Roman"/>
          <w:i/>
        </w:rPr>
        <w:tab/>
        <w:t>Wykonawca może wydłużyć okres gwarancji do 36 miesięcy. Wydłużenie  jeszcze bardziej tego okresu nie spowoduje naliczenia dodatkowych punktów za to kryterium.</w:t>
      </w:r>
    </w:p>
    <w:p w14:paraId="682656D0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  <w:i/>
        </w:rPr>
      </w:pPr>
    </w:p>
    <w:p w14:paraId="21DD49D9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 xml:space="preserve">Za najkorzystniejszą zostanie uznana oferta Wykonawcy, który spełni wszystkie postawione </w:t>
      </w:r>
      <w:r w:rsidRPr="006F311B">
        <w:rPr>
          <w:rFonts w:ascii="Times New Roman" w:hAnsi="Times New Roman" w:cs="Times New Roman"/>
          <w:b/>
          <w:bCs/>
        </w:rPr>
        <w:br/>
        <w:t>w niniejszej SIWZ warunki oraz uzyska łącznie największą liczbę punktów (P) stanowiących sumę punktów przyznanych w ramach każdego z podanych kryteriów, wyliczoną zgodnie z poniższym wzorem:</w:t>
      </w:r>
    </w:p>
    <w:p w14:paraId="4166CCF8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</w:p>
    <w:p w14:paraId="1FD21658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>P = C + T + G</w:t>
      </w:r>
    </w:p>
    <w:p w14:paraId="59AFF60C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 xml:space="preserve">gdzie: </w:t>
      </w:r>
      <w:r w:rsidRPr="006F311B">
        <w:rPr>
          <w:rFonts w:ascii="Times New Roman" w:hAnsi="Times New Roman" w:cs="Times New Roman"/>
          <w:b/>
          <w:bCs/>
        </w:rPr>
        <w:tab/>
        <w:t xml:space="preserve"> C   – liczba punktów przyznana ofercie ocenianej w  kryterium „Cena”,</w:t>
      </w:r>
    </w:p>
    <w:p w14:paraId="4E7F2085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 xml:space="preserve"> T – liczba punktów przyznana ofercie ocenianej w kryterium „Termin dostawy rozdrabniacza mobilnego”,</w:t>
      </w:r>
    </w:p>
    <w:p w14:paraId="7E0F794F" w14:textId="77777777" w:rsidR="006F311B" w:rsidRPr="006F311B" w:rsidRDefault="006F311B" w:rsidP="006F311B">
      <w:pPr>
        <w:jc w:val="center"/>
        <w:rPr>
          <w:rFonts w:ascii="Times New Roman" w:hAnsi="Times New Roman" w:cs="Times New Roman"/>
          <w:b/>
          <w:bCs/>
        </w:rPr>
      </w:pPr>
      <w:r w:rsidRPr="006F311B">
        <w:rPr>
          <w:rFonts w:ascii="Times New Roman" w:hAnsi="Times New Roman" w:cs="Times New Roman"/>
          <w:b/>
          <w:bCs/>
        </w:rPr>
        <w:t>G   – liczba punktów przyznana ofercie ocenianej w kryterium „Gwarancja”.</w:t>
      </w:r>
    </w:p>
    <w:p w14:paraId="72428429" w14:textId="77777777" w:rsidR="004F2B5B" w:rsidRPr="00F86C57" w:rsidRDefault="004F2B5B" w:rsidP="006F311B">
      <w:pPr>
        <w:jc w:val="center"/>
        <w:rPr>
          <w:rFonts w:ascii="Times New Roman" w:hAnsi="Times New Roman" w:cs="Times New Roman"/>
        </w:rPr>
      </w:pPr>
    </w:p>
    <w:sectPr w:rsidR="004F2B5B" w:rsidRPr="00F86C57" w:rsidSect="00694B1A">
      <w:head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329D" w14:textId="77777777" w:rsidR="00B61503" w:rsidRDefault="00B61503" w:rsidP="0074092D">
      <w:pPr>
        <w:spacing w:after="0" w:line="240" w:lineRule="auto"/>
      </w:pPr>
      <w:r>
        <w:separator/>
      </w:r>
    </w:p>
  </w:endnote>
  <w:endnote w:type="continuationSeparator" w:id="0">
    <w:p w14:paraId="38DAF80F" w14:textId="77777777" w:rsidR="00B61503" w:rsidRDefault="00B61503" w:rsidP="00740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E8D0" w14:textId="77777777" w:rsidR="00B61503" w:rsidRDefault="00B61503" w:rsidP="0074092D">
      <w:pPr>
        <w:spacing w:after="0" w:line="240" w:lineRule="auto"/>
      </w:pPr>
      <w:r>
        <w:separator/>
      </w:r>
    </w:p>
  </w:footnote>
  <w:footnote w:type="continuationSeparator" w:id="0">
    <w:p w14:paraId="2994FE07" w14:textId="77777777" w:rsidR="00B61503" w:rsidRDefault="00B61503" w:rsidP="00740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D2239" w14:textId="07D6717E" w:rsidR="00694B1A" w:rsidRPr="00694B1A" w:rsidRDefault="00694B1A" w:rsidP="00694B1A">
    <w:pPr>
      <w:pStyle w:val="Nagwek"/>
    </w:pPr>
    <w:r w:rsidRPr="00694B1A">
      <w:rPr>
        <w:noProof/>
      </w:rPr>
      <w:drawing>
        <wp:inline distT="0" distB="0" distL="0" distR="0" wp14:anchorId="777EED28" wp14:editId="42746F16">
          <wp:extent cx="5760720" cy="578485"/>
          <wp:effectExtent l="0" t="0" r="0" b="0"/>
          <wp:docPr id="9221661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7843D" w14:textId="77777777" w:rsidR="00694B1A" w:rsidRDefault="00694B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201321"/>
    <w:multiLevelType w:val="hybridMultilevel"/>
    <w:tmpl w:val="1D8E3FBA"/>
    <w:lvl w:ilvl="0" w:tplc="FF8C67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99B000C"/>
    <w:multiLevelType w:val="hybridMultilevel"/>
    <w:tmpl w:val="DAF80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90FBC"/>
    <w:multiLevelType w:val="multilevel"/>
    <w:tmpl w:val="56C2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01292F"/>
    <w:multiLevelType w:val="hybridMultilevel"/>
    <w:tmpl w:val="56F422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8C67A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E77F9"/>
    <w:multiLevelType w:val="hybridMultilevel"/>
    <w:tmpl w:val="9924610A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3C8A3717"/>
    <w:multiLevelType w:val="hybridMultilevel"/>
    <w:tmpl w:val="70165504"/>
    <w:lvl w:ilvl="0" w:tplc="7C542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5423F"/>
    <w:multiLevelType w:val="hybridMultilevel"/>
    <w:tmpl w:val="4D40E3B0"/>
    <w:lvl w:ilvl="0" w:tplc="7C542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4B3280"/>
    <w:multiLevelType w:val="hybridMultilevel"/>
    <w:tmpl w:val="296A1AB4"/>
    <w:lvl w:ilvl="0" w:tplc="FF8C67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86890"/>
    <w:multiLevelType w:val="hybridMultilevel"/>
    <w:tmpl w:val="70889D98"/>
    <w:lvl w:ilvl="0" w:tplc="7C542A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A3718A0"/>
    <w:multiLevelType w:val="hybridMultilevel"/>
    <w:tmpl w:val="B77A601A"/>
    <w:lvl w:ilvl="0" w:tplc="7C542A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D795A22"/>
    <w:multiLevelType w:val="hybridMultilevel"/>
    <w:tmpl w:val="D284B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F0955BF"/>
    <w:multiLevelType w:val="hybridMultilevel"/>
    <w:tmpl w:val="7FA42D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460774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7751783">
    <w:abstractNumId w:val="2"/>
  </w:num>
  <w:num w:numId="3" w16cid:durableId="1112626785">
    <w:abstractNumId w:val="7"/>
  </w:num>
  <w:num w:numId="4" w16cid:durableId="939411619">
    <w:abstractNumId w:val="5"/>
  </w:num>
  <w:num w:numId="5" w16cid:durableId="852958926">
    <w:abstractNumId w:val="11"/>
  </w:num>
  <w:num w:numId="6" w16cid:durableId="1431925188">
    <w:abstractNumId w:val="6"/>
  </w:num>
  <w:num w:numId="7" w16cid:durableId="1172258205">
    <w:abstractNumId w:val="3"/>
  </w:num>
  <w:num w:numId="8" w16cid:durableId="2098556353">
    <w:abstractNumId w:val="12"/>
  </w:num>
  <w:num w:numId="9" w16cid:durableId="684671721">
    <w:abstractNumId w:val="10"/>
  </w:num>
  <w:num w:numId="10" w16cid:durableId="1430272079">
    <w:abstractNumId w:val="9"/>
  </w:num>
  <w:num w:numId="11" w16cid:durableId="1255671274">
    <w:abstractNumId w:val="8"/>
  </w:num>
  <w:num w:numId="12" w16cid:durableId="772749633">
    <w:abstractNumId w:val="1"/>
  </w:num>
  <w:num w:numId="13" w16cid:durableId="1919560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48"/>
    <w:rsid w:val="00000B37"/>
    <w:rsid w:val="000219DE"/>
    <w:rsid w:val="00021B8B"/>
    <w:rsid w:val="00021F1E"/>
    <w:rsid w:val="0004251D"/>
    <w:rsid w:val="00054F8B"/>
    <w:rsid w:val="00057473"/>
    <w:rsid w:val="000642AC"/>
    <w:rsid w:val="0006638E"/>
    <w:rsid w:val="00067321"/>
    <w:rsid w:val="00067D8F"/>
    <w:rsid w:val="00067E2D"/>
    <w:rsid w:val="00093A79"/>
    <w:rsid w:val="000B40FE"/>
    <w:rsid w:val="000C0CE7"/>
    <w:rsid w:val="000C7CF9"/>
    <w:rsid w:val="000C7F55"/>
    <w:rsid w:val="000D0666"/>
    <w:rsid w:val="000E06C2"/>
    <w:rsid w:val="000F1426"/>
    <w:rsid w:val="00104DA8"/>
    <w:rsid w:val="001323C0"/>
    <w:rsid w:val="00132C98"/>
    <w:rsid w:val="0014288F"/>
    <w:rsid w:val="00156FC8"/>
    <w:rsid w:val="00160BF3"/>
    <w:rsid w:val="00171C20"/>
    <w:rsid w:val="00174EAC"/>
    <w:rsid w:val="00192D10"/>
    <w:rsid w:val="001D77FA"/>
    <w:rsid w:val="001D7F9F"/>
    <w:rsid w:val="002228E4"/>
    <w:rsid w:val="00225C80"/>
    <w:rsid w:val="00235DB5"/>
    <w:rsid w:val="00235F59"/>
    <w:rsid w:val="00246049"/>
    <w:rsid w:val="002463A3"/>
    <w:rsid w:val="00246913"/>
    <w:rsid w:val="002640A1"/>
    <w:rsid w:val="002716A9"/>
    <w:rsid w:val="00284D33"/>
    <w:rsid w:val="002A4C18"/>
    <w:rsid w:val="002C0906"/>
    <w:rsid w:val="002C3812"/>
    <w:rsid w:val="002D3732"/>
    <w:rsid w:val="002E268A"/>
    <w:rsid w:val="002F5F57"/>
    <w:rsid w:val="00306B7B"/>
    <w:rsid w:val="00335743"/>
    <w:rsid w:val="00336D67"/>
    <w:rsid w:val="00343B81"/>
    <w:rsid w:val="00350306"/>
    <w:rsid w:val="003518F4"/>
    <w:rsid w:val="00372CB0"/>
    <w:rsid w:val="0039640C"/>
    <w:rsid w:val="003B1605"/>
    <w:rsid w:val="003B267B"/>
    <w:rsid w:val="003B2DA3"/>
    <w:rsid w:val="003B41E0"/>
    <w:rsid w:val="003D200A"/>
    <w:rsid w:val="003E3132"/>
    <w:rsid w:val="00403F53"/>
    <w:rsid w:val="0041079B"/>
    <w:rsid w:val="004276CB"/>
    <w:rsid w:val="004304A4"/>
    <w:rsid w:val="00432576"/>
    <w:rsid w:val="00440D8D"/>
    <w:rsid w:val="00441276"/>
    <w:rsid w:val="00441EE1"/>
    <w:rsid w:val="00442EED"/>
    <w:rsid w:val="00445E10"/>
    <w:rsid w:val="00446125"/>
    <w:rsid w:val="00461515"/>
    <w:rsid w:val="0046772C"/>
    <w:rsid w:val="004808F5"/>
    <w:rsid w:val="004A2C3B"/>
    <w:rsid w:val="004C5EAC"/>
    <w:rsid w:val="004C7DC4"/>
    <w:rsid w:val="004D47E9"/>
    <w:rsid w:val="004D7710"/>
    <w:rsid w:val="004E687E"/>
    <w:rsid w:val="004F2B5B"/>
    <w:rsid w:val="00502618"/>
    <w:rsid w:val="00506B05"/>
    <w:rsid w:val="0050780C"/>
    <w:rsid w:val="005237CF"/>
    <w:rsid w:val="0052756F"/>
    <w:rsid w:val="00545467"/>
    <w:rsid w:val="005458C9"/>
    <w:rsid w:val="005614BD"/>
    <w:rsid w:val="00561FC9"/>
    <w:rsid w:val="00563F3D"/>
    <w:rsid w:val="005716E4"/>
    <w:rsid w:val="00587233"/>
    <w:rsid w:val="00595FBF"/>
    <w:rsid w:val="005B7971"/>
    <w:rsid w:val="005D0148"/>
    <w:rsid w:val="005D2FBB"/>
    <w:rsid w:val="005D5940"/>
    <w:rsid w:val="005E6048"/>
    <w:rsid w:val="005E794B"/>
    <w:rsid w:val="005F2788"/>
    <w:rsid w:val="005F46E0"/>
    <w:rsid w:val="00622CCE"/>
    <w:rsid w:val="006255FB"/>
    <w:rsid w:val="00626F29"/>
    <w:rsid w:val="0064165E"/>
    <w:rsid w:val="00655F18"/>
    <w:rsid w:val="00681392"/>
    <w:rsid w:val="00694B1A"/>
    <w:rsid w:val="006C103E"/>
    <w:rsid w:val="006E1C23"/>
    <w:rsid w:val="006E3DC0"/>
    <w:rsid w:val="006F311B"/>
    <w:rsid w:val="006F33AE"/>
    <w:rsid w:val="006F61C9"/>
    <w:rsid w:val="00701289"/>
    <w:rsid w:val="00713D2B"/>
    <w:rsid w:val="00720BD5"/>
    <w:rsid w:val="00724C79"/>
    <w:rsid w:val="007273E7"/>
    <w:rsid w:val="007307CC"/>
    <w:rsid w:val="00740476"/>
    <w:rsid w:val="0074092D"/>
    <w:rsid w:val="007514C7"/>
    <w:rsid w:val="0076146B"/>
    <w:rsid w:val="00763FA4"/>
    <w:rsid w:val="007674CB"/>
    <w:rsid w:val="00771140"/>
    <w:rsid w:val="00781399"/>
    <w:rsid w:val="0078722C"/>
    <w:rsid w:val="007A18F0"/>
    <w:rsid w:val="007B11C2"/>
    <w:rsid w:val="007B248F"/>
    <w:rsid w:val="007D5FDB"/>
    <w:rsid w:val="007F34F6"/>
    <w:rsid w:val="008163FA"/>
    <w:rsid w:val="00821A6E"/>
    <w:rsid w:val="008227AF"/>
    <w:rsid w:val="00826255"/>
    <w:rsid w:val="008311DC"/>
    <w:rsid w:val="00843937"/>
    <w:rsid w:val="00852FAB"/>
    <w:rsid w:val="00856868"/>
    <w:rsid w:val="00870AFD"/>
    <w:rsid w:val="00884198"/>
    <w:rsid w:val="008A0E11"/>
    <w:rsid w:val="008A0EA3"/>
    <w:rsid w:val="008A2217"/>
    <w:rsid w:val="008B7CA3"/>
    <w:rsid w:val="008C17D9"/>
    <w:rsid w:val="008F4E18"/>
    <w:rsid w:val="00907D29"/>
    <w:rsid w:val="009316B6"/>
    <w:rsid w:val="00941247"/>
    <w:rsid w:val="00965201"/>
    <w:rsid w:val="0097066A"/>
    <w:rsid w:val="00980D95"/>
    <w:rsid w:val="009B6A99"/>
    <w:rsid w:val="009D05BA"/>
    <w:rsid w:val="009E0A09"/>
    <w:rsid w:val="009F5630"/>
    <w:rsid w:val="00A6402F"/>
    <w:rsid w:val="00A747DA"/>
    <w:rsid w:val="00A82DD5"/>
    <w:rsid w:val="00A91BFD"/>
    <w:rsid w:val="00A96C94"/>
    <w:rsid w:val="00AA3849"/>
    <w:rsid w:val="00AA5513"/>
    <w:rsid w:val="00AC247C"/>
    <w:rsid w:val="00AC5D02"/>
    <w:rsid w:val="00AE0DBB"/>
    <w:rsid w:val="00AE4CD3"/>
    <w:rsid w:val="00AF4AE5"/>
    <w:rsid w:val="00B22213"/>
    <w:rsid w:val="00B27136"/>
    <w:rsid w:val="00B2722D"/>
    <w:rsid w:val="00B61503"/>
    <w:rsid w:val="00B717E2"/>
    <w:rsid w:val="00B7260D"/>
    <w:rsid w:val="00B733FC"/>
    <w:rsid w:val="00B7608A"/>
    <w:rsid w:val="00B95370"/>
    <w:rsid w:val="00BA05D5"/>
    <w:rsid w:val="00BA2367"/>
    <w:rsid w:val="00BA3100"/>
    <w:rsid w:val="00BB4887"/>
    <w:rsid w:val="00BC20AC"/>
    <w:rsid w:val="00BC3AD9"/>
    <w:rsid w:val="00BE4FF8"/>
    <w:rsid w:val="00BE71B6"/>
    <w:rsid w:val="00BF14AC"/>
    <w:rsid w:val="00BF70BB"/>
    <w:rsid w:val="00C04718"/>
    <w:rsid w:val="00C223D2"/>
    <w:rsid w:val="00C306FC"/>
    <w:rsid w:val="00C421F3"/>
    <w:rsid w:val="00C6368F"/>
    <w:rsid w:val="00C676D5"/>
    <w:rsid w:val="00C7074F"/>
    <w:rsid w:val="00C71989"/>
    <w:rsid w:val="00C71A84"/>
    <w:rsid w:val="00C817DD"/>
    <w:rsid w:val="00C91460"/>
    <w:rsid w:val="00CB4AE5"/>
    <w:rsid w:val="00CB72A2"/>
    <w:rsid w:val="00CC4BDC"/>
    <w:rsid w:val="00CF657A"/>
    <w:rsid w:val="00D16C45"/>
    <w:rsid w:val="00D20E61"/>
    <w:rsid w:val="00D32AF4"/>
    <w:rsid w:val="00D33916"/>
    <w:rsid w:val="00D36C44"/>
    <w:rsid w:val="00D5438D"/>
    <w:rsid w:val="00D54C31"/>
    <w:rsid w:val="00D55E18"/>
    <w:rsid w:val="00D60F62"/>
    <w:rsid w:val="00D61186"/>
    <w:rsid w:val="00D751CC"/>
    <w:rsid w:val="00D866CD"/>
    <w:rsid w:val="00D9544F"/>
    <w:rsid w:val="00DA4AF9"/>
    <w:rsid w:val="00DB3C81"/>
    <w:rsid w:val="00DC115F"/>
    <w:rsid w:val="00DC6B0B"/>
    <w:rsid w:val="00DD4A67"/>
    <w:rsid w:val="00DE1D24"/>
    <w:rsid w:val="00DE27F9"/>
    <w:rsid w:val="00DF033A"/>
    <w:rsid w:val="00DF06C0"/>
    <w:rsid w:val="00E0169E"/>
    <w:rsid w:val="00E078FF"/>
    <w:rsid w:val="00E43F49"/>
    <w:rsid w:val="00E5639E"/>
    <w:rsid w:val="00E56BED"/>
    <w:rsid w:val="00E66C73"/>
    <w:rsid w:val="00E67255"/>
    <w:rsid w:val="00E75B32"/>
    <w:rsid w:val="00E76BC1"/>
    <w:rsid w:val="00E820EF"/>
    <w:rsid w:val="00E83ADE"/>
    <w:rsid w:val="00E86332"/>
    <w:rsid w:val="00EA05D0"/>
    <w:rsid w:val="00EA64B0"/>
    <w:rsid w:val="00EB2822"/>
    <w:rsid w:val="00EB5A56"/>
    <w:rsid w:val="00EC38FA"/>
    <w:rsid w:val="00EC47E1"/>
    <w:rsid w:val="00ED63C9"/>
    <w:rsid w:val="00EE14F3"/>
    <w:rsid w:val="00EE1DDC"/>
    <w:rsid w:val="00EE2878"/>
    <w:rsid w:val="00EE3571"/>
    <w:rsid w:val="00F10AFE"/>
    <w:rsid w:val="00F143DA"/>
    <w:rsid w:val="00F360F1"/>
    <w:rsid w:val="00F40473"/>
    <w:rsid w:val="00F479EF"/>
    <w:rsid w:val="00F54565"/>
    <w:rsid w:val="00F65B69"/>
    <w:rsid w:val="00F71743"/>
    <w:rsid w:val="00F73C4C"/>
    <w:rsid w:val="00F81586"/>
    <w:rsid w:val="00F86C57"/>
    <w:rsid w:val="00F86D48"/>
    <w:rsid w:val="00F92D77"/>
    <w:rsid w:val="00F94CCA"/>
    <w:rsid w:val="00FA5F42"/>
    <w:rsid w:val="00FB43C6"/>
    <w:rsid w:val="00FB4D39"/>
    <w:rsid w:val="00FB6D29"/>
    <w:rsid w:val="00FC6DBB"/>
    <w:rsid w:val="00FE2E59"/>
    <w:rsid w:val="00FE526C"/>
    <w:rsid w:val="00FE790C"/>
    <w:rsid w:val="00FF2C37"/>
    <w:rsid w:val="00FF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7C13"/>
  <w15:docId w15:val="{72B61B00-5792-44BA-97CF-15F6D6C2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8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1B8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9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9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092D"/>
    <w:rPr>
      <w:vertAlign w:val="superscript"/>
    </w:rPr>
  </w:style>
  <w:style w:type="paragraph" w:customStyle="1" w:styleId="Akapitzlist1">
    <w:name w:val="Akapit z listą1"/>
    <w:basedOn w:val="Normalny"/>
    <w:link w:val="ListParagraphChar"/>
    <w:rsid w:val="000C7CF9"/>
    <w:pPr>
      <w:suppressAutoHyphens/>
      <w:autoSpaceDE w:val="0"/>
      <w:spacing w:after="120" w:line="240" w:lineRule="auto"/>
      <w:ind w:left="708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Akapitzlist1"/>
    <w:locked/>
    <w:rsid w:val="000C7CF9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AA38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22"/>
    <w:qFormat/>
    <w:rsid w:val="00BA05D5"/>
    <w:rPr>
      <w:b/>
      <w:bCs/>
    </w:rPr>
  </w:style>
  <w:style w:type="table" w:styleId="Tabela-Siatka">
    <w:name w:val="Table Grid"/>
    <w:basedOn w:val="Standardowy"/>
    <w:uiPriority w:val="59"/>
    <w:rsid w:val="0064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4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B1A"/>
  </w:style>
  <w:style w:type="paragraph" w:styleId="Stopka">
    <w:name w:val="footer"/>
    <w:basedOn w:val="Normalny"/>
    <w:link w:val="StopkaZnak"/>
    <w:uiPriority w:val="99"/>
    <w:unhideWhenUsed/>
    <w:rsid w:val="00694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DB12E-FAE2-4C08-BB7B-B8553614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1769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ZGO-Robert</dc:creator>
  <cp:lastModifiedBy>Sylwester Pyzalski</cp:lastModifiedBy>
  <cp:revision>8</cp:revision>
  <cp:lastPrinted>2021-02-25T06:12:00Z</cp:lastPrinted>
  <dcterms:created xsi:type="dcterms:W3CDTF">2025-07-15T08:37:00Z</dcterms:created>
  <dcterms:modified xsi:type="dcterms:W3CDTF">2026-03-20T09:16:00Z</dcterms:modified>
</cp:coreProperties>
</file>